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pPr>
        <w:autoSpaceDE w:val="0"/>
        <w:autoSpaceDN w:val="0"/>
        <w:adjustRightInd w:val="0"/>
        <w:spacing w:line="500" w:lineRule="exact"/>
        <w:rPr>
          <w:rFonts w:hint="default" w:ascii="宋体" w:hAnsi="宋体" w:eastAsia="宋体"/>
          <w:color w:val="FF0000"/>
          <w:kern w:val="0"/>
          <w:sz w:val="28"/>
          <w:szCs w:val="28"/>
          <w:highlight w:val="none"/>
          <w:lang w:val="en-US" w:eastAsia="zh-CN"/>
        </w:rPr>
      </w:pPr>
      <w:r>
        <w:rPr>
          <w:rFonts w:hint="eastAsia" w:ascii="宋体" w:hAnsi="宋体"/>
          <w:kern w:val="0"/>
          <w:sz w:val="28"/>
          <w:szCs w:val="28"/>
          <w:highlight w:val="none"/>
        </w:rPr>
        <w:t>合同编号</w:t>
      </w:r>
      <w:r>
        <w:rPr>
          <w:rFonts w:hint="eastAsia" w:ascii="宋体" w:hAnsi="宋体"/>
          <w:kern w:val="0"/>
          <w:sz w:val="28"/>
          <w:szCs w:val="28"/>
          <w:highlight w:val="none"/>
          <w:lang w:eastAsia="zh-CN"/>
        </w:rPr>
        <w:t>：</w:t>
      </w:r>
    </w:p>
    <w:p>
      <w:pPr>
        <w:autoSpaceDE w:val="0"/>
        <w:autoSpaceDN w:val="0"/>
        <w:adjustRightInd w:val="0"/>
        <w:spacing w:line="500" w:lineRule="exact"/>
        <w:rPr>
          <w:rFonts w:hint="eastAsia" w:ascii="宋体" w:hAnsi="宋体" w:eastAsia="宋体" w:cs="Times New Roman"/>
          <w:kern w:val="0"/>
          <w:sz w:val="28"/>
          <w:szCs w:val="28"/>
          <w:highlight w:val="none"/>
          <w:lang w:val="en-US" w:eastAsia="zh-CN" w:bidi="ar-SA"/>
        </w:rPr>
      </w:pPr>
      <w:r>
        <w:rPr>
          <w:rFonts w:hint="eastAsia" w:ascii="宋体" w:hAnsi="宋体"/>
          <w:kern w:val="0"/>
          <w:sz w:val="28"/>
          <w:szCs w:val="28"/>
          <w:highlight w:val="none"/>
        </w:rPr>
        <w:t>买方全称：</w:t>
      </w:r>
    </w:p>
    <w:p>
      <w:pPr>
        <w:pStyle w:val="6"/>
        <w:autoSpaceDE w:val="0"/>
        <w:autoSpaceDN w:val="0"/>
        <w:adjustRightInd w:val="0"/>
        <w:spacing w:line="500" w:lineRule="exact"/>
        <w:rPr>
          <w:rFonts w:ascii="宋体" w:hAnsi="宋体"/>
          <w:kern w:val="0"/>
          <w:sz w:val="28"/>
          <w:szCs w:val="28"/>
          <w:highlight w:val="none"/>
        </w:rPr>
      </w:pPr>
      <w:r>
        <w:rPr>
          <w:rFonts w:hint="eastAsia" w:ascii="宋体" w:hAnsi="宋体"/>
          <w:kern w:val="0"/>
          <w:sz w:val="28"/>
          <w:szCs w:val="28"/>
          <w:highlight w:val="none"/>
        </w:rPr>
        <w:t>卖方全称：梅州市嘉泰粮食和物资储备有限公司</w:t>
      </w:r>
    </w:p>
    <w:p>
      <w:pPr>
        <w:autoSpaceDE w:val="0"/>
        <w:autoSpaceDN w:val="0"/>
        <w:adjustRightInd w:val="0"/>
        <w:spacing w:line="460" w:lineRule="exact"/>
        <w:rPr>
          <w:rFonts w:ascii="宋体" w:hAnsi="宋体"/>
          <w:kern w:val="0"/>
          <w:sz w:val="28"/>
          <w:szCs w:val="28"/>
          <w:highlight w:val="none"/>
        </w:rPr>
      </w:pPr>
      <w:r>
        <w:rPr>
          <w:rFonts w:hint="eastAsia" w:ascii="宋体" w:hAnsi="宋体"/>
          <w:kern w:val="0"/>
          <w:sz w:val="28"/>
          <w:szCs w:val="28"/>
          <w:highlight w:val="none"/>
        </w:rPr>
        <w:t>一、成交标的（见下表）                     单位：元、吨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noWrap w:val="0"/>
            <w:vAlign w:val="top"/>
          </w:tcPr>
          <w:p>
            <w:pPr>
              <w:pStyle w:val="2"/>
              <w:spacing w:line="460" w:lineRule="exact"/>
              <w:ind w:firstLine="0" w:firstLineChars="0"/>
              <w:jc w:val="center"/>
              <w:rPr>
                <w:rFonts w:ascii="宋体" w:hAnsi="宋体" w:eastAsia="宋体"/>
                <w:b/>
                <w:bCs/>
                <w:sz w:val="24"/>
                <w:highlight w:val="none"/>
              </w:rPr>
            </w:pPr>
            <w:r>
              <w:rPr>
                <w:rFonts w:hint="eastAsia" w:ascii="宋体" w:hAnsi="宋体" w:eastAsia="宋体"/>
                <w:b/>
                <w:bCs/>
                <w:sz w:val="24"/>
                <w:highlight w:val="none"/>
              </w:rPr>
              <w:t>标的号</w:t>
            </w:r>
          </w:p>
        </w:tc>
        <w:tc>
          <w:tcPr>
            <w:tcW w:w="2616" w:type="dxa"/>
            <w:noWrap w:val="0"/>
            <w:vAlign w:val="top"/>
          </w:tcPr>
          <w:p>
            <w:pPr>
              <w:pStyle w:val="2"/>
              <w:spacing w:line="460" w:lineRule="exact"/>
              <w:ind w:firstLine="0" w:firstLineChars="0"/>
              <w:jc w:val="center"/>
              <w:rPr>
                <w:rFonts w:hint="default" w:ascii="宋体" w:hAnsi="宋体" w:eastAsia="宋体"/>
                <w:sz w:val="24"/>
                <w:highlight w:val="none"/>
                <w:lang w:val="en-US" w:eastAsia="zh-CN"/>
              </w:rPr>
            </w:pPr>
          </w:p>
        </w:tc>
        <w:tc>
          <w:tcPr>
            <w:tcW w:w="817" w:type="dxa"/>
            <w:noWrap w:val="0"/>
            <w:vAlign w:val="top"/>
          </w:tcPr>
          <w:p>
            <w:pPr>
              <w:pStyle w:val="2"/>
              <w:spacing w:line="460" w:lineRule="exact"/>
              <w:ind w:firstLine="0" w:firstLineChars="0"/>
              <w:rPr>
                <w:rFonts w:ascii="宋体" w:hAnsi="宋体" w:eastAsia="宋体"/>
                <w:b/>
                <w:bCs/>
                <w:sz w:val="24"/>
                <w:highlight w:val="none"/>
              </w:rPr>
            </w:pPr>
            <w:r>
              <w:rPr>
                <w:rFonts w:hint="eastAsia" w:ascii="宋体" w:hAnsi="宋体" w:eastAsia="宋体"/>
                <w:b/>
                <w:bCs/>
                <w:sz w:val="24"/>
                <w:highlight w:val="none"/>
              </w:rPr>
              <w:t>数量</w:t>
            </w:r>
          </w:p>
        </w:tc>
        <w:tc>
          <w:tcPr>
            <w:tcW w:w="3145" w:type="dxa"/>
            <w:gridSpan w:val="2"/>
            <w:noWrap w:val="0"/>
            <w:vAlign w:val="top"/>
          </w:tcPr>
          <w:p>
            <w:pPr>
              <w:pStyle w:val="2"/>
              <w:spacing w:line="460" w:lineRule="exact"/>
              <w:jc w:val="center"/>
              <w:rPr>
                <w:rFonts w:ascii="宋体" w:hAnsi="宋体" w:eastAsia="宋体"/>
                <w:sz w:val="24"/>
                <w:highlight w:val="none"/>
              </w:rPr>
            </w:pPr>
            <w:r>
              <w:rPr>
                <w:rFonts w:hint="eastAsia" w:ascii="宋体" w:hAnsi="宋体" w:eastAsia="宋体"/>
                <w:sz w:val="24"/>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noWrap w:val="0"/>
            <w:vAlign w:val="top"/>
          </w:tcPr>
          <w:p>
            <w:pPr>
              <w:pStyle w:val="2"/>
              <w:spacing w:line="460" w:lineRule="exact"/>
              <w:ind w:firstLine="0" w:firstLineChars="0"/>
              <w:jc w:val="center"/>
              <w:rPr>
                <w:rFonts w:ascii="宋体" w:hAnsi="宋体" w:eastAsia="宋体"/>
                <w:b/>
                <w:bCs/>
                <w:sz w:val="24"/>
                <w:highlight w:val="none"/>
              </w:rPr>
            </w:pPr>
            <w:r>
              <w:rPr>
                <w:rFonts w:hint="eastAsia" w:ascii="宋体" w:hAnsi="宋体" w:eastAsia="宋体"/>
                <w:b/>
                <w:bCs/>
                <w:sz w:val="24"/>
                <w:highlight w:val="none"/>
              </w:rPr>
              <w:t>品种</w:t>
            </w:r>
          </w:p>
        </w:tc>
        <w:tc>
          <w:tcPr>
            <w:tcW w:w="2616" w:type="dxa"/>
            <w:noWrap w:val="0"/>
            <w:vAlign w:val="top"/>
          </w:tcPr>
          <w:p>
            <w:pPr>
              <w:pStyle w:val="2"/>
              <w:spacing w:line="460" w:lineRule="exact"/>
              <w:ind w:firstLine="0" w:firstLineChars="0"/>
              <w:jc w:val="center"/>
              <w:rPr>
                <w:rFonts w:ascii="宋体" w:hAnsi="宋体" w:eastAsia="宋体"/>
                <w:sz w:val="24"/>
                <w:highlight w:val="none"/>
              </w:rPr>
            </w:pPr>
            <w:r>
              <w:rPr>
                <w:rFonts w:hint="eastAsia" w:ascii="宋体" w:hAnsi="宋体" w:eastAsia="宋体"/>
                <w:sz w:val="24"/>
                <w:highlight w:val="none"/>
              </w:rPr>
              <w:t>早籼谷</w:t>
            </w:r>
          </w:p>
        </w:tc>
        <w:tc>
          <w:tcPr>
            <w:tcW w:w="817" w:type="dxa"/>
            <w:noWrap w:val="0"/>
            <w:vAlign w:val="top"/>
          </w:tcPr>
          <w:p>
            <w:pPr>
              <w:pStyle w:val="2"/>
              <w:spacing w:line="460" w:lineRule="exact"/>
              <w:ind w:firstLine="0" w:firstLineChars="0"/>
              <w:rPr>
                <w:rFonts w:ascii="宋体" w:hAnsi="宋体" w:eastAsia="宋体"/>
                <w:b/>
                <w:bCs/>
                <w:sz w:val="24"/>
                <w:highlight w:val="none"/>
              </w:rPr>
            </w:pPr>
            <w:r>
              <w:rPr>
                <w:rFonts w:hint="eastAsia" w:ascii="宋体" w:hAnsi="宋体" w:eastAsia="宋体"/>
                <w:b/>
                <w:bCs/>
                <w:sz w:val="24"/>
                <w:highlight w:val="none"/>
              </w:rPr>
              <w:t>等级</w:t>
            </w:r>
          </w:p>
        </w:tc>
        <w:tc>
          <w:tcPr>
            <w:tcW w:w="3145" w:type="dxa"/>
            <w:gridSpan w:val="2"/>
            <w:noWrap w:val="0"/>
            <w:vAlign w:val="top"/>
          </w:tcPr>
          <w:p>
            <w:pPr>
              <w:pStyle w:val="2"/>
              <w:spacing w:line="460" w:lineRule="exact"/>
              <w:ind w:firstLine="0" w:firstLineChars="0"/>
              <w:jc w:val="center"/>
              <w:rPr>
                <w:rFonts w:ascii="宋体" w:hAnsi="宋体" w:eastAsia="宋体"/>
                <w:sz w:val="24"/>
                <w:highlight w:val="none"/>
              </w:rPr>
            </w:pPr>
            <w:r>
              <w:rPr>
                <w:rFonts w:hint="eastAsia" w:ascii="宋体" w:hAnsi="宋体" w:eastAsia="宋体"/>
                <w:sz w:val="24"/>
                <w:highlight w:val="none"/>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noWrap w:val="0"/>
            <w:vAlign w:val="top"/>
          </w:tcPr>
          <w:p>
            <w:pPr>
              <w:pStyle w:val="2"/>
              <w:spacing w:line="460" w:lineRule="exact"/>
              <w:ind w:firstLine="0" w:firstLineChars="0"/>
              <w:jc w:val="center"/>
              <w:rPr>
                <w:rFonts w:ascii="宋体" w:hAnsi="宋体" w:eastAsia="宋体"/>
                <w:b/>
                <w:bCs/>
                <w:sz w:val="24"/>
                <w:highlight w:val="none"/>
              </w:rPr>
            </w:pPr>
            <w:r>
              <w:rPr>
                <w:rFonts w:hint="eastAsia" w:ascii="宋体" w:hAnsi="宋体" w:eastAsia="宋体"/>
                <w:b/>
                <w:bCs/>
                <w:sz w:val="24"/>
                <w:highlight w:val="none"/>
              </w:rPr>
              <w:t>入库年度</w:t>
            </w:r>
          </w:p>
        </w:tc>
        <w:tc>
          <w:tcPr>
            <w:tcW w:w="2616" w:type="dxa"/>
            <w:noWrap w:val="0"/>
            <w:vAlign w:val="top"/>
          </w:tcPr>
          <w:p>
            <w:pPr>
              <w:pStyle w:val="2"/>
              <w:spacing w:line="460" w:lineRule="exact"/>
              <w:ind w:firstLine="0" w:firstLineChars="0"/>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2021年</w:t>
            </w:r>
          </w:p>
        </w:tc>
        <w:tc>
          <w:tcPr>
            <w:tcW w:w="817" w:type="dxa"/>
            <w:noWrap w:val="0"/>
            <w:vAlign w:val="top"/>
          </w:tcPr>
          <w:p>
            <w:pPr>
              <w:pStyle w:val="2"/>
              <w:spacing w:line="460" w:lineRule="exact"/>
              <w:ind w:firstLine="0" w:firstLineChars="0"/>
              <w:rPr>
                <w:rFonts w:ascii="宋体" w:hAnsi="宋体" w:eastAsia="宋体"/>
                <w:b/>
                <w:bCs/>
                <w:sz w:val="24"/>
                <w:highlight w:val="none"/>
              </w:rPr>
            </w:pPr>
            <w:r>
              <w:rPr>
                <w:rFonts w:hint="eastAsia" w:ascii="宋体" w:hAnsi="宋体" w:eastAsia="宋体"/>
                <w:b/>
                <w:bCs/>
                <w:sz w:val="24"/>
                <w:highlight w:val="none"/>
              </w:rPr>
              <w:t>单价</w:t>
            </w:r>
          </w:p>
        </w:tc>
        <w:tc>
          <w:tcPr>
            <w:tcW w:w="3145" w:type="dxa"/>
            <w:gridSpan w:val="2"/>
            <w:noWrap w:val="0"/>
            <w:vAlign w:val="top"/>
          </w:tcPr>
          <w:p>
            <w:pPr>
              <w:pStyle w:val="2"/>
              <w:spacing w:line="460" w:lineRule="exact"/>
              <w:ind w:firstLine="240" w:firstLineChars="100"/>
              <w:jc w:val="center"/>
              <w:rPr>
                <w:rFonts w:ascii="宋体" w:hAnsi="宋体" w:eastAsia="宋体"/>
                <w:sz w:val="24"/>
                <w:highlight w:val="none"/>
              </w:rPr>
            </w:pPr>
            <w:r>
              <w:rPr>
                <w:rFonts w:hint="eastAsia" w:ascii="宋体" w:hAnsi="宋体" w:eastAsia="宋体"/>
                <w:sz w:val="24"/>
                <w:highlight w:val="none"/>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noWrap w:val="0"/>
            <w:vAlign w:val="top"/>
          </w:tcPr>
          <w:p>
            <w:pPr>
              <w:pStyle w:val="2"/>
              <w:spacing w:line="460" w:lineRule="exact"/>
              <w:ind w:firstLine="0" w:firstLineChars="0"/>
              <w:jc w:val="center"/>
              <w:rPr>
                <w:rFonts w:ascii="宋体" w:hAnsi="宋体" w:eastAsia="宋体"/>
                <w:b/>
                <w:bCs/>
                <w:sz w:val="24"/>
                <w:highlight w:val="none"/>
              </w:rPr>
            </w:pPr>
            <w:r>
              <w:rPr>
                <w:rFonts w:hint="eastAsia" w:ascii="宋体" w:hAnsi="宋体" w:eastAsia="宋体"/>
                <w:b/>
                <w:bCs/>
                <w:sz w:val="24"/>
                <w:highlight w:val="none"/>
              </w:rPr>
              <w:t>产地</w:t>
            </w:r>
          </w:p>
        </w:tc>
        <w:tc>
          <w:tcPr>
            <w:tcW w:w="2623" w:type="dxa"/>
            <w:gridSpan w:val="2"/>
            <w:noWrap w:val="0"/>
            <w:vAlign w:val="top"/>
          </w:tcPr>
          <w:p>
            <w:pPr>
              <w:pStyle w:val="2"/>
              <w:spacing w:line="460" w:lineRule="exact"/>
              <w:ind w:firstLine="0" w:firstLineChars="0"/>
              <w:jc w:val="center"/>
              <w:rPr>
                <w:rFonts w:ascii="宋体" w:hAnsi="宋体" w:eastAsia="宋体"/>
                <w:sz w:val="24"/>
                <w:highlight w:val="none"/>
              </w:rPr>
            </w:pPr>
            <w:r>
              <w:rPr>
                <w:rFonts w:hint="eastAsia" w:ascii="宋体" w:hAnsi="宋体" w:eastAsia="宋体"/>
                <w:sz w:val="24"/>
                <w:highlight w:val="none"/>
              </w:rPr>
              <w:t>江西</w:t>
            </w:r>
          </w:p>
        </w:tc>
        <w:tc>
          <w:tcPr>
            <w:tcW w:w="817" w:type="dxa"/>
            <w:noWrap w:val="0"/>
            <w:vAlign w:val="top"/>
          </w:tcPr>
          <w:p>
            <w:pPr>
              <w:pStyle w:val="2"/>
              <w:spacing w:line="460" w:lineRule="exact"/>
              <w:ind w:firstLine="0" w:firstLineChars="0"/>
              <w:rPr>
                <w:rFonts w:ascii="宋体" w:hAnsi="宋体" w:eastAsia="宋体"/>
                <w:b/>
                <w:bCs/>
                <w:sz w:val="24"/>
                <w:highlight w:val="none"/>
              </w:rPr>
            </w:pPr>
            <w:r>
              <w:rPr>
                <w:rFonts w:hint="eastAsia" w:ascii="宋体" w:hAnsi="宋体" w:eastAsia="宋体"/>
                <w:b/>
                <w:bCs/>
                <w:sz w:val="24"/>
                <w:highlight w:val="none"/>
              </w:rPr>
              <w:t>包装</w:t>
            </w:r>
          </w:p>
        </w:tc>
        <w:tc>
          <w:tcPr>
            <w:tcW w:w="3130" w:type="dxa"/>
            <w:noWrap w:val="0"/>
            <w:vAlign w:val="top"/>
          </w:tcPr>
          <w:p>
            <w:pPr>
              <w:pStyle w:val="2"/>
              <w:spacing w:line="460" w:lineRule="exact"/>
              <w:ind w:firstLine="0" w:firstLineChars="0"/>
              <w:jc w:val="center"/>
              <w:rPr>
                <w:rFonts w:ascii="宋体" w:hAnsi="宋体" w:eastAsia="宋体"/>
                <w:sz w:val="24"/>
                <w:highlight w:val="none"/>
              </w:rPr>
            </w:pPr>
            <w:r>
              <w:rPr>
                <w:rFonts w:hint="eastAsia" w:ascii="宋体" w:hAnsi="宋体" w:eastAsia="宋体"/>
                <w:sz w:val="24"/>
                <w:highlight w:val="none"/>
              </w:rPr>
              <w:t>散装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noWrap w:val="0"/>
            <w:vAlign w:val="top"/>
          </w:tcPr>
          <w:p>
            <w:pPr>
              <w:pStyle w:val="2"/>
              <w:spacing w:line="460" w:lineRule="exact"/>
              <w:ind w:firstLine="0" w:firstLineChars="0"/>
              <w:jc w:val="center"/>
              <w:rPr>
                <w:rFonts w:ascii="宋体" w:hAnsi="宋体" w:eastAsia="宋体"/>
                <w:b/>
                <w:bCs/>
                <w:sz w:val="24"/>
                <w:highlight w:val="none"/>
              </w:rPr>
            </w:pPr>
            <w:r>
              <w:rPr>
                <w:rFonts w:hint="eastAsia" w:ascii="宋体" w:hAnsi="宋体" w:eastAsia="宋体"/>
                <w:b/>
                <w:bCs/>
                <w:sz w:val="24"/>
                <w:highlight w:val="none"/>
              </w:rPr>
              <w:t>总金额</w:t>
            </w:r>
          </w:p>
        </w:tc>
        <w:tc>
          <w:tcPr>
            <w:tcW w:w="6570" w:type="dxa"/>
            <w:gridSpan w:val="4"/>
            <w:noWrap w:val="0"/>
            <w:vAlign w:val="top"/>
          </w:tcPr>
          <w:p>
            <w:pPr>
              <w:pStyle w:val="2"/>
              <w:spacing w:line="460" w:lineRule="exact"/>
              <w:ind w:left="0" w:leftChars="0" w:firstLine="240" w:firstLineChars="100"/>
              <w:jc w:val="center"/>
              <w:rPr>
                <w:rFonts w:ascii="宋体" w:hAnsi="宋体" w:eastAsia="宋体"/>
                <w:sz w:val="24"/>
                <w:highlight w:val="none"/>
              </w:rPr>
            </w:pPr>
            <w:r>
              <w:rPr>
                <w:rFonts w:hint="eastAsia" w:ascii="宋体" w:hAnsi="宋体" w:eastAsia="宋体"/>
                <w:sz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noWrap w:val="0"/>
            <w:vAlign w:val="center"/>
          </w:tcPr>
          <w:p>
            <w:pPr>
              <w:pStyle w:val="2"/>
              <w:spacing w:line="460" w:lineRule="exact"/>
              <w:ind w:firstLine="0" w:firstLineChars="0"/>
              <w:jc w:val="center"/>
              <w:rPr>
                <w:rFonts w:ascii="宋体" w:hAnsi="宋体" w:eastAsia="宋体"/>
                <w:b/>
                <w:bCs/>
                <w:sz w:val="24"/>
                <w:highlight w:val="none"/>
              </w:rPr>
            </w:pPr>
            <w:r>
              <w:rPr>
                <w:rFonts w:hint="eastAsia" w:ascii="宋体" w:hAnsi="宋体" w:eastAsia="宋体"/>
                <w:b/>
                <w:bCs/>
                <w:sz w:val="24"/>
                <w:highlight w:val="none"/>
              </w:rPr>
              <w:t>存放地点</w:t>
            </w:r>
          </w:p>
        </w:tc>
        <w:tc>
          <w:tcPr>
            <w:tcW w:w="6570" w:type="dxa"/>
            <w:gridSpan w:val="4"/>
            <w:noWrap w:val="0"/>
            <w:vAlign w:val="center"/>
          </w:tcPr>
          <w:p>
            <w:pPr>
              <w:jc w:val="center"/>
              <w:rPr>
                <w:rFonts w:hint="eastAsia" w:ascii="宋体" w:hAnsi="宋体" w:eastAsia="宋体"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noWrap w:val="0"/>
            <w:vAlign w:val="center"/>
          </w:tcPr>
          <w:p>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交货方式</w:t>
            </w:r>
          </w:p>
        </w:tc>
        <w:tc>
          <w:tcPr>
            <w:tcW w:w="6570" w:type="dxa"/>
            <w:gridSpan w:val="4"/>
            <w:noWrap w:val="0"/>
            <w:vAlign w:val="top"/>
          </w:tcPr>
          <w:p>
            <w:pPr>
              <w:widowControl/>
              <w:jc w:val="left"/>
              <w:rPr>
                <w:rFonts w:ascii="宋体" w:hAnsi="宋体"/>
                <w:kern w:val="0"/>
                <w:sz w:val="24"/>
              </w:rPr>
            </w:pPr>
            <w:r>
              <w:rPr>
                <w:rFonts w:hint="eastAsia" w:ascii="宋体" w:hAnsi="宋体"/>
                <w:kern w:val="0"/>
                <w:sz w:val="24"/>
              </w:rPr>
              <w:t>仓库车板交货</w:t>
            </w:r>
          </w:p>
          <w:p>
            <w:pPr>
              <w:widowControl/>
              <w:shd w:val="clear" w:color="auto" w:fill="FFFFFF"/>
              <w:jc w:val="left"/>
              <w:rPr>
                <w:rFonts w:ascii="微软雅黑" w:hAnsi="微软雅黑" w:eastAsia="微软雅黑" w:cs="宋体"/>
                <w:color w:val="242424"/>
                <w:kern w:val="0"/>
                <w:szCs w:val="21"/>
              </w:rPr>
            </w:pPr>
            <w:r>
              <w:rPr>
                <w:rFonts w:hint="eastAsia" w:ascii="宋体" w:hAnsi="宋体"/>
                <w:kern w:val="0"/>
                <w:sz w:val="24"/>
              </w:rPr>
              <w:t>卖方组织装卸搬运上车，卖方向买方收取30元/吨的出仓服务费，按仓库工作时间出仓。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noWrap w:val="0"/>
            <w:vAlign w:val="top"/>
          </w:tcPr>
          <w:p>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交货期限</w:t>
            </w:r>
          </w:p>
        </w:tc>
        <w:tc>
          <w:tcPr>
            <w:tcW w:w="6570" w:type="dxa"/>
            <w:gridSpan w:val="4"/>
            <w:noWrap w:val="0"/>
            <w:vAlign w:val="top"/>
          </w:tcPr>
          <w:p>
            <w:pPr>
              <w:pStyle w:val="2"/>
              <w:spacing w:line="460" w:lineRule="exact"/>
              <w:ind w:firstLine="0" w:firstLineChars="0"/>
              <w:rPr>
                <w:rFonts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4</w:t>
            </w:r>
            <w:r>
              <w:rPr>
                <w:rFonts w:hint="eastAsia" w:ascii="宋体" w:hAnsi="宋体" w:eastAsia="宋体"/>
                <w:sz w:val="24"/>
              </w:rPr>
              <w:t>年</w:t>
            </w:r>
            <w:r>
              <w:rPr>
                <w:rFonts w:hint="eastAsia" w:ascii="宋体" w:hAnsi="宋体" w:eastAsia="宋体"/>
                <w:sz w:val="24"/>
                <w:lang w:val="en-US" w:eastAsia="zh-CN"/>
              </w:rPr>
              <w:t>5</w:t>
            </w:r>
            <w:r>
              <w:rPr>
                <w:rFonts w:hint="eastAsia" w:ascii="宋体" w:hAnsi="宋体" w:eastAsia="宋体"/>
                <w:sz w:val="24"/>
              </w:rPr>
              <w:t>月</w:t>
            </w:r>
            <w:r>
              <w:rPr>
                <w:rFonts w:hint="eastAsia" w:ascii="宋体" w:hAnsi="宋体" w:eastAsia="宋体"/>
                <w:sz w:val="24"/>
                <w:lang w:val="en-US" w:eastAsia="zh-CN"/>
              </w:rPr>
              <w:t>2</w:t>
            </w:r>
            <w:r>
              <w:rPr>
                <w:rFonts w:hint="eastAsia" w:ascii="宋体" w:hAnsi="宋体" w:eastAsia="宋体"/>
                <w:sz w:val="24"/>
              </w:rPr>
              <w:t>日-202</w:t>
            </w:r>
            <w:r>
              <w:rPr>
                <w:rFonts w:hint="eastAsia" w:ascii="宋体" w:hAnsi="宋体" w:eastAsia="宋体"/>
                <w:sz w:val="24"/>
                <w:lang w:val="en-US" w:eastAsia="zh-CN"/>
              </w:rPr>
              <w:t>4</w:t>
            </w:r>
            <w:r>
              <w:rPr>
                <w:rFonts w:hint="eastAsia" w:ascii="宋体" w:hAnsi="宋体" w:eastAsia="宋体"/>
                <w:sz w:val="24"/>
              </w:rPr>
              <w:t>年6月</w:t>
            </w:r>
            <w:r>
              <w:rPr>
                <w:rFonts w:hint="eastAsia" w:ascii="宋体" w:hAnsi="宋体" w:eastAsia="宋体"/>
                <w:sz w:val="24"/>
                <w:lang w:val="en-US" w:eastAsia="zh-CN"/>
              </w:rPr>
              <w:t>15</w:t>
            </w:r>
            <w:r>
              <w:rPr>
                <w:rFonts w:hint="eastAsia" w:ascii="宋体" w:hAnsi="宋体" w:eastAsia="宋体"/>
                <w:sz w:val="24"/>
              </w:rPr>
              <w:t>日</w:t>
            </w:r>
          </w:p>
        </w:tc>
      </w:tr>
    </w:tbl>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买方必须在中标之日起三日内与卖方签订合同，交货期限内将粮食全部提货完毕。</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四、结算凭证：卖方提供本单位开出的增值税专用发票。</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30元/吨的出仓服务费（含搬运装卸费、设备使用费、水电费、过磅费、整理清扫费、出库期间管理费）。</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七、违约责任：</w:t>
      </w:r>
      <w:r>
        <w:rPr>
          <w:rFonts w:hint="eastAsia" w:ascii="宋体" w:hAnsi="宋体" w:eastAsia="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pPr>
        <w:autoSpaceDE w:val="0"/>
        <w:autoSpaceDN w:val="0"/>
        <w:adjustRightInd w:val="0"/>
        <w:spacing w:line="400" w:lineRule="exact"/>
        <w:ind w:firstLine="480" w:firstLineChars="200"/>
        <w:rPr>
          <w:rFonts w:ascii="宋体" w:hAnsi="宋体"/>
          <w:sz w:val="24"/>
        </w:rPr>
      </w:pPr>
      <w:r>
        <w:rPr>
          <w:rFonts w:hint="eastAsia" w:ascii="宋体" w:hAnsi="宋体"/>
          <w:kern w:val="0"/>
          <w:sz w:val="24"/>
        </w:rPr>
        <w:t>八、争议解决：</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九、本合同自签订之日起生效。本合同履行完毕，双方结清费用时自然终止。</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十一、买方人员、车辆、货运司机及随车人员必须配合卖方工作相关要求，服从卖方仓库的管理。</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十二、合同签订地点：梅州市。</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十三、本合同一式三份，买卖双方、确认单位各执一份。</w:t>
      </w:r>
    </w:p>
    <w:p>
      <w:pPr>
        <w:autoSpaceDE w:val="0"/>
        <w:autoSpaceDN w:val="0"/>
        <w:adjustRightInd w:val="0"/>
        <w:spacing w:line="400" w:lineRule="exact"/>
        <w:rPr>
          <w:rFonts w:ascii="宋体" w:hAnsi="宋体"/>
          <w:kern w:val="0"/>
          <w:sz w:val="24"/>
        </w:rPr>
      </w:pPr>
    </w:p>
    <w:p>
      <w:pPr>
        <w:autoSpaceDE w:val="0"/>
        <w:autoSpaceDN w:val="0"/>
        <w:adjustRightInd w:val="0"/>
        <w:spacing w:line="400" w:lineRule="exact"/>
        <w:rPr>
          <w:rFonts w:ascii="宋体" w:hAnsi="宋体"/>
          <w:kern w:val="0"/>
          <w:sz w:val="24"/>
        </w:rPr>
      </w:pPr>
      <w:r>
        <w:rPr>
          <w:rFonts w:hint="eastAsia" w:ascii="宋体" w:hAnsi="宋体"/>
          <w:kern w:val="0"/>
          <w:sz w:val="24"/>
        </w:rPr>
        <w:t xml:space="preserve">买方单位（盖章）：              </w:t>
      </w:r>
      <w:r>
        <w:rPr>
          <w:rFonts w:hint="eastAsia" w:ascii="宋体" w:hAnsi="宋体"/>
          <w:kern w:val="0"/>
          <w:sz w:val="24"/>
          <w:lang w:val="en-US" w:eastAsia="zh-CN"/>
        </w:rPr>
        <w:t xml:space="preserve">     </w:t>
      </w:r>
      <w:r>
        <w:rPr>
          <w:rFonts w:hint="eastAsia" w:ascii="宋体" w:hAnsi="宋体"/>
          <w:kern w:val="0"/>
          <w:sz w:val="24"/>
        </w:rPr>
        <w:t>卖方单位（盖章）：</w:t>
      </w:r>
    </w:p>
    <w:p>
      <w:pPr>
        <w:autoSpaceDE w:val="0"/>
        <w:autoSpaceDN w:val="0"/>
        <w:adjustRightInd w:val="0"/>
        <w:spacing w:line="400" w:lineRule="exact"/>
        <w:ind w:firstLine="480" w:firstLineChars="200"/>
        <w:rPr>
          <w:rFonts w:ascii="宋体" w:hAnsi="宋体"/>
          <w:kern w:val="0"/>
          <w:sz w:val="24"/>
        </w:rPr>
      </w:pPr>
    </w:p>
    <w:p>
      <w:pPr>
        <w:autoSpaceDE w:val="0"/>
        <w:autoSpaceDN w:val="0"/>
        <w:adjustRightInd w:val="0"/>
        <w:spacing w:line="400" w:lineRule="exact"/>
        <w:rPr>
          <w:rFonts w:ascii="宋体" w:hAnsi="宋体"/>
          <w:kern w:val="0"/>
          <w:sz w:val="24"/>
        </w:rPr>
      </w:pPr>
    </w:p>
    <w:p>
      <w:pPr>
        <w:autoSpaceDE w:val="0"/>
        <w:autoSpaceDN w:val="0"/>
        <w:adjustRightInd w:val="0"/>
        <w:spacing w:line="400" w:lineRule="exact"/>
        <w:rPr>
          <w:rFonts w:ascii="宋体" w:hAnsi="宋体"/>
          <w:kern w:val="0"/>
          <w:sz w:val="24"/>
        </w:rPr>
      </w:pPr>
      <w:r>
        <w:rPr>
          <w:rFonts w:hint="eastAsia" w:ascii="宋体" w:hAnsi="宋体"/>
          <w:kern w:val="0"/>
          <w:sz w:val="24"/>
          <w:lang w:val="en-US" w:eastAsia="zh-CN"/>
        </w:rPr>
        <w:t>法定代表人</w:t>
      </w:r>
      <w:r>
        <w:rPr>
          <w:rFonts w:hint="eastAsia" w:ascii="宋体" w:hAnsi="宋体"/>
          <w:kern w:val="0"/>
          <w:sz w:val="24"/>
        </w:rPr>
        <w:t>或</w:t>
      </w:r>
      <w:r>
        <w:rPr>
          <w:rFonts w:hint="eastAsia" w:ascii="宋体" w:hAnsi="宋体"/>
          <w:kern w:val="0"/>
          <w:sz w:val="24"/>
          <w:lang w:val="en-US" w:eastAsia="zh-CN"/>
        </w:rPr>
        <w:t>代理</w:t>
      </w:r>
      <w:r>
        <w:rPr>
          <w:rFonts w:hint="eastAsia" w:ascii="宋体" w:hAnsi="宋体"/>
          <w:kern w:val="0"/>
          <w:sz w:val="24"/>
        </w:rPr>
        <w:t xml:space="preserve">人（签字）：         </w:t>
      </w:r>
      <w:r>
        <w:rPr>
          <w:rFonts w:hint="eastAsia" w:ascii="宋体" w:hAnsi="宋体"/>
          <w:kern w:val="0"/>
          <w:sz w:val="24"/>
          <w:lang w:val="en-US" w:eastAsia="zh-CN"/>
        </w:rPr>
        <w:t>法定代表人</w:t>
      </w:r>
      <w:r>
        <w:rPr>
          <w:rFonts w:hint="eastAsia" w:ascii="宋体" w:hAnsi="宋体"/>
          <w:kern w:val="0"/>
          <w:sz w:val="24"/>
        </w:rPr>
        <w:t>或</w:t>
      </w:r>
      <w:r>
        <w:rPr>
          <w:rFonts w:hint="eastAsia" w:ascii="宋体" w:hAnsi="宋体"/>
          <w:kern w:val="0"/>
          <w:sz w:val="24"/>
          <w:lang w:val="en-US" w:eastAsia="zh-CN"/>
        </w:rPr>
        <w:t>代理</w:t>
      </w:r>
      <w:r>
        <w:rPr>
          <w:rFonts w:hint="eastAsia" w:ascii="宋体" w:hAnsi="宋体"/>
          <w:kern w:val="0"/>
          <w:sz w:val="24"/>
        </w:rPr>
        <w:t>人（签字）：</w:t>
      </w:r>
    </w:p>
    <w:p>
      <w:pPr>
        <w:spacing w:line="400" w:lineRule="exact"/>
        <w:rPr>
          <w:rFonts w:ascii="宋体" w:hAnsi="宋体"/>
          <w:kern w:val="0"/>
          <w:sz w:val="24"/>
        </w:rPr>
      </w:pPr>
    </w:p>
    <w:p>
      <w:pPr>
        <w:spacing w:line="400" w:lineRule="exact"/>
        <w:rPr>
          <w:rFonts w:ascii="宋体" w:hAnsi="宋体"/>
          <w:kern w:val="0"/>
          <w:sz w:val="24"/>
        </w:rPr>
      </w:pPr>
      <w:r>
        <w:rPr>
          <w:rFonts w:hint="eastAsia" w:ascii="宋体" w:hAnsi="宋体"/>
          <w:kern w:val="0"/>
          <w:sz w:val="24"/>
        </w:rPr>
        <w:t>卖方收货款账户</w:t>
      </w:r>
    </w:p>
    <w:p>
      <w:pPr>
        <w:autoSpaceDE w:val="0"/>
        <w:autoSpaceDN w:val="0"/>
        <w:adjustRightInd w:val="0"/>
        <w:spacing w:line="400" w:lineRule="exact"/>
        <w:rPr>
          <w:rFonts w:ascii="宋体" w:hAnsi="宋体"/>
          <w:kern w:val="0"/>
          <w:sz w:val="24"/>
        </w:rPr>
      </w:pPr>
      <w:r>
        <w:rPr>
          <w:rFonts w:hint="eastAsia" w:ascii="宋体" w:hAnsi="宋体"/>
          <w:kern w:val="0"/>
          <w:sz w:val="24"/>
        </w:rPr>
        <w:t xml:space="preserve">收款单位：梅州市嘉泰粮食和物资储备有限公司 </w:t>
      </w:r>
    </w:p>
    <w:p>
      <w:pPr>
        <w:autoSpaceDE w:val="0"/>
        <w:autoSpaceDN w:val="0"/>
        <w:adjustRightInd w:val="0"/>
        <w:spacing w:line="400" w:lineRule="exact"/>
        <w:rPr>
          <w:rFonts w:ascii="宋体" w:hAnsi="宋体"/>
          <w:kern w:val="0"/>
          <w:sz w:val="24"/>
        </w:rPr>
      </w:pPr>
      <w:r>
        <w:rPr>
          <w:rFonts w:hint="eastAsia" w:ascii="宋体" w:hAnsi="宋体"/>
          <w:kern w:val="0"/>
          <w:sz w:val="24"/>
        </w:rPr>
        <w:t>开户行：中国农业发展银行梅州市分行</w:t>
      </w:r>
    </w:p>
    <w:p>
      <w:pPr>
        <w:autoSpaceDE w:val="0"/>
        <w:autoSpaceDN w:val="0"/>
        <w:adjustRightInd w:val="0"/>
        <w:spacing w:line="400" w:lineRule="exact"/>
        <w:rPr>
          <w:rFonts w:ascii="宋体" w:hAnsi="宋体"/>
          <w:kern w:val="0"/>
          <w:sz w:val="24"/>
        </w:rPr>
      </w:pPr>
      <w:r>
        <w:rPr>
          <w:rFonts w:hint="eastAsia" w:ascii="宋体" w:hAnsi="宋体"/>
          <w:kern w:val="0"/>
          <w:sz w:val="24"/>
        </w:rPr>
        <w:t>帐号：2034 4149 9001 0000 0005 921</w:t>
      </w:r>
    </w:p>
    <w:p>
      <w:pPr>
        <w:autoSpaceDE w:val="0"/>
        <w:autoSpaceDN w:val="0"/>
        <w:adjustRightInd w:val="0"/>
        <w:spacing w:line="400" w:lineRule="exact"/>
        <w:rPr>
          <w:rFonts w:ascii="宋体" w:hAnsi="宋体"/>
          <w:kern w:val="0"/>
          <w:sz w:val="24"/>
        </w:rPr>
      </w:pPr>
      <w:r>
        <w:rPr>
          <w:rFonts w:hint="eastAsia" w:ascii="宋体" w:hAnsi="宋体"/>
          <w:kern w:val="0"/>
          <w:sz w:val="24"/>
        </w:rPr>
        <w:t>电话：0753-2128293    2128286</w:t>
      </w:r>
      <w:bookmarkStart w:id="0" w:name="_GoBack"/>
      <w:bookmarkEnd w:id="0"/>
    </w:p>
    <w:p>
      <w:pPr>
        <w:autoSpaceDE w:val="0"/>
        <w:autoSpaceDN w:val="0"/>
        <w:adjustRightInd w:val="0"/>
        <w:spacing w:line="400" w:lineRule="exact"/>
        <w:rPr>
          <w:rFonts w:ascii="宋体" w:hAnsi="宋体"/>
          <w:kern w:val="0"/>
          <w:sz w:val="24"/>
        </w:rPr>
      </w:pPr>
      <w:r>
        <w:rPr>
          <w:rFonts w:hint="eastAsia" w:ascii="宋体" w:hAnsi="宋体"/>
          <w:kern w:val="0"/>
          <w:sz w:val="24"/>
        </w:rPr>
        <w:t xml:space="preserve">传真：0753-2128286   </w:t>
      </w:r>
    </w:p>
    <w:p>
      <w:pPr>
        <w:spacing w:line="400" w:lineRule="exact"/>
        <w:rPr>
          <w:rFonts w:ascii="宋体" w:hAnsi="宋体"/>
          <w:kern w:val="0"/>
          <w:sz w:val="24"/>
        </w:rPr>
      </w:pPr>
    </w:p>
    <w:p>
      <w:pPr>
        <w:spacing w:line="400" w:lineRule="exact"/>
        <w:rPr>
          <w:rFonts w:ascii="宋体" w:hAnsi="宋体"/>
          <w:sz w:val="24"/>
        </w:rPr>
      </w:pPr>
      <w:r>
        <w:rPr>
          <w:rFonts w:hint="eastAsia" w:ascii="宋体" w:hAnsi="宋体"/>
          <w:sz w:val="24"/>
        </w:rPr>
        <w:t>确认单位：梅州市嘉应粮食交易中心有限公司</w:t>
      </w:r>
    </w:p>
    <w:p>
      <w:pPr>
        <w:spacing w:line="400" w:lineRule="exact"/>
        <w:rPr>
          <w:rFonts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pPr>
        <w:spacing w:line="400" w:lineRule="exact"/>
        <w:jc w:val="right"/>
        <w:rPr>
          <w:rFonts w:ascii="宋体" w:hAnsi="宋体"/>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XX</w:t>
      </w:r>
      <w:r>
        <w:rPr>
          <w:rFonts w:hint="eastAsia" w:ascii="宋体" w:hAnsi="宋体"/>
          <w:sz w:val="24"/>
        </w:rPr>
        <w:t>月</w:t>
      </w:r>
      <w:r>
        <w:rPr>
          <w:rFonts w:hint="eastAsia" w:ascii="宋体" w:hAnsi="宋体"/>
          <w:sz w:val="24"/>
          <w:lang w:val="en-US" w:eastAsia="zh-CN"/>
        </w:rPr>
        <w:t>XX</w:t>
      </w:r>
      <w:r>
        <w:rPr>
          <w:rFonts w:hint="eastAsia" w:ascii="宋体" w:hAnsi="宋体"/>
          <w:sz w:val="24"/>
        </w:rPr>
        <w:t>日</w:t>
      </w:r>
    </w:p>
    <w:sectPr>
      <w:footerReference r:id="rId3" w:type="default"/>
      <w:pgSz w:w="11907" w:h="16840"/>
      <w:pgMar w:top="1247" w:right="1469" w:bottom="1191" w:left="162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04FB"/>
    <w:rsid w:val="00025CFC"/>
    <w:rsid w:val="00027843"/>
    <w:rsid w:val="0003521E"/>
    <w:rsid w:val="000421E9"/>
    <w:rsid w:val="000555A5"/>
    <w:rsid w:val="00073830"/>
    <w:rsid w:val="000809AB"/>
    <w:rsid w:val="000809C3"/>
    <w:rsid w:val="00085FF8"/>
    <w:rsid w:val="000A0A6C"/>
    <w:rsid w:val="000A128F"/>
    <w:rsid w:val="000A3C43"/>
    <w:rsid w:val="000A7D08"/>
    <w:rsid w:val="000D1210"/>
    <w:rsid w:val="000D540A"/>
    <w:rsid w:val="000E153C"/>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86BB6"/>
    <w:rsid w:val="00193554"/>
    <w:rsid w:val="001A27F5"/>
    <w:rsid w:val="001B4B04"/>
    <w:rsid w:val="001C4032"/>
    <w:rsid w:val="001C6D76"/>
    <w:rsid w:val="001D1C12"/>
    <w:rsid w:val="001D30EE"/>
    <w:rsid w:val="001D7909"/>
    <w:rsid w:val="001E5EEC"/>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F1E71"/>
    <w:rsid w:val="002F3DB0"/>
    <w:rsid w:val="0030521F"/>
    <w:rsid w:val="00332E35"/>
    <w:rsid w:val="0034606B"/>
    <w:rsid w:val="003552A5"/>
    <w:rsid w:val="00376E7B"/>
    <w:rsid w:val="00384C74"/>
    <w:rsid w:val="00385DE9"/>
    <w:rsid w:val="00387BEC"/>
    <w:rsid w:val="00391681"/>
    <w:rsid w:val="003A0AD7"/>
    <w:rsid w:val="003A7669"/>
    <w:rsid w:val="003B41D7"/>
    <w:rsid w:val="003C1C2A"/>
    <w:rsid w:val="003C71B3"/>
    <w:rsid w:val="003C74DC"/>
    <w:rsid w:val="003C77AC"/>
    <w:rsid w:val="003C77E2"/>
    <w:rsid w:val="003F3F2B"/>
    <w:rsid w:val="003F7F8F"/>
    <w:rsid w:val="004008A0"/>
    <w:rsid w:val="0040324D"/>
    <w:rsid w:val="0043009F"/>
    <w:rsid w:val="00432E9B"/>
    <w:rsid w:val="00440507"/>
    <w:rsid w:val="00441539"/>
    <w:rsid w:val="00445652"/>
    <w:rsid w:val="00446417"/>
    <w:rsid w:val="004547EC"/>
    <w:rsid w:val="00456509"/>
    <w:rsid w:val="00462362"/>
    <w:rsid w:val="0047048B"/>
    <w:rsid w:val="004762E6"/>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17EC7"/>
    <w:rsid w:val="00530C37"/>
    <w:rsid w:val="00534337"/>
    <w:rsid w:val="005359FA"/>
    <w:rsid w:val="005438DF"/>
    <w:rsid w:val="005440EF"/>
    <w:rsid w:val="00556BF2"/>
    <w:rsid w:val="00560052"/>
    <w:rsid w:val="00564666"/>
    <w:rsid w:val="005650C2"/>
    <w:rsid w:val="0056624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3037"/>
    <w:rsid w:val="0064682A"/>
    <w:rsid w:val="00656087"/>
    <w:rsid w:val="00662D7E"/>
    <w:rsid w:val="00672D54"/>
    <w:rsid w:val="0068470D"/>
    <w:rsid w:val="00687DE5"/>
    <w:rsid w:val="00693594"/>
    <w:rsid w:val="0069486C"/>
    <w:rsid w:val="0069545C"/>
    <w:rsid w:val="006A1D59"/>
    <w:rsid w:val="006A6ECA"/>
    <w:rsid w:val="006B15EB"/>
    <w:rsid w:val="006B1760"/>
    <w:rsid w:val="006B499C"/>
    <w:rsid w:val="006C4F7C"/>
    <w:rsid w:val="006C6E8B"/>
    <w:rsid w:val="006D3CE1"/>
    <w:rsid w:val="006D5986"/>
    <w:rsid w:val="006D77C5"/>
    <w:rsid w:val="006D7D1A"/>
    <w:rsid w:val="006E064B"/>
    <w:rsid w:val="00707919"/>
    <w:rsid w:val="007115A7"/>
    <w:rsid w:val="00725837"/>
    <w:rsid w:val="0073381E"/>
    <w:rsid w:val="00735F40"/>
    <w:rsid w:val="00742AE8"/>
    <w:rsid w:val="00752FF3"/>
    <w:rsid w:val="00753357"/>
    <w:rsid w:val="00762973"/>
    <w:rsid w:val="007641CC"/>
    <w:rsid w:val="00765B8D"/>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13EFA"/>
    <w:rsid w:val="00841DF4"/>
    <w:rsid w:val="008425A0"/>
    <w:rsid w:val="008436D2"/>
    <w:rsid w:val="008447B2"/>
    <w:rsid w:val="008477A0"/>
    <w:rsid w:val="0085090E"/>
    <w:rsid w:val="0085662B"/>
    <w:rsid w:val="00861700"/>
    <w:rsid w:val="00866D4D"/>
    <w:rsid w:val="0087072A"/>
    <w:rsid w:val="008724BA"/>
    <w:rsid w:val="00872AE9"/>
    <w:rsid w:val="008743F0"/>
    <w:rsid w:val="00895FF9"/>
    <w:rsid w:val="008972B7"/>
    <w:rsid w:val="008A02C1"/>
    <w:rsid w:val="008A2B2A"/>
    <w:rsid w:val="008A55D6"/>
    <w:rsid w:val="008C229D"/>
    <w:rsid w:val="008C2F11"/>
    <w:rsid w:val="008C43D7"/>
    <w:rsid w:val="008D67D3"/>
    <w:rsid w:val="008F096C"/>
    <w:rsid w:val="009016DE"/>
    <w:rsid w:val="009019AD"/>
    <w:rsid w:val="0090387F"/>
    <w:rsid w:val="00907205"/>
    <w:rsid w:val="00915653"/>
    <w:rsid w:val="00924093"/>
    <w:rsid w:val="009548DB"/>
    <w:rsid w:val="00955D73"/>
    <w:rsid w:val="009571A6"/>
    <w:rsid w:val="00965913"/>
    <w:rsid w:val="00981253"/>
    <w:rsid w:val="00997D54"/>
    <w:rsid w:val="009A1577"/>
    <w:rsid w:val="009A6334"/>
    <w:rsid w:val="009B77BE"/>
    <w:rsid w:val="009D1EEE"/>
    <w:rsid w:val="009E65FF"/>
    <w:rsid w:val="009F1777"/>
    <w:rsid w:val="009F1F51"/>
    <w:rsid w:val="009F5C68"/>
    <w:rsid w:val="00A01F8F"/>
    <w:rsid w:val="00A02C0B"/>
    <w:rsid w:val="00A035F1"/>
    <w:rsid w:val="00A073A6"/>
    <w:rsid w:val="00A152CA"/>
    <w:rsid w:val="00A16189"/>
    <w:rsid w:val="00A23073"/>
    <w:rsid w:val="00A25E18"/>
    <w:rsid w:val="00A312A8"/>
    <w:rsid w:val="00A326CB"/>
    <w:rsid w:val="00A434E1"/>
    <w:rsid w:val="00A44CC5"/>
    <w:rsid w:val="00A550C4"/>
    <w:rsid w:val="00A62D21"/>
    <w:rsid w:val="00A65D10"/>
    <w:rsid w:val="00A66FFD"/>
    <w:rsid w:val="00A77AB5"/>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824A5"/>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21221"/>
    <w:rsid w:val="00C31EEF"/>
    <w:rsid w:val="00C329DE"/>
    <w:rsid w:val="00C330BF"/>
    <w:rsid w:val="00C3450E"/>
    <w:rsid w:val="00C355D5"/>
    <w:rsid w:val="00C445EF"/>
    <w:rsid w:val="00C56081"/>
    <w:rsid w:val="00C61962"/>
    <w:rsid w:val="00C61CE7"/>
    <w:rsid w:val="00C71BDF"/>
    <w:rsid w:val="00C75F20"/>
    <w:rsid w:val="00C96494"/>
    <w:rsid w:val="00C96E7A"/>
    <w:rsid w:val="00CA3150"/>
    <w:rsid w:val="00CB1424"/>
    <w:rsid w:val="00CD0BE5"/>
    <w:rsid w:val="00CD33E5"/>
    <w:rsid w:val="00CE34C5"/>
    <w:rsid w:val="00CE5793"/>
    <w:rsid w:val="00CF61FF"/>
    <w:rsid w:val="00D01C29"/>
    <w:rsid w:val="00D15F5E"/>
    <w:rsid w:val="00D21305"/>
    <w:rsid w:val="00D21C08"/>
    <w:rsid w:val="00D26B37"/>
    <w:rsid w:val="00D27512"/>
    <w:rsid w:val="00D33AB3"/>
    <w:rsid w:val="00D366DE"/>
    <w:rsid w:val="00D518E1"/>
    <w:rsid w:val="00D53DF9"/>
    <w:rsid w:val="00D60F35"/>
    <w:rsid w:val="00D77CD8"/>
    <w:rsid w:val="00D821D7"/>
    <w:rsid w:val="00D91E52"/>
    <w:rsid w:val="00D9565F"/>
    <w:rsid w:val="00D970EC"/>
    <w:rsid w:val="00D97CF7"/>
    <w:rsid w:val="00DA3F4F"/>
    <w:rsid w:val="00DA6C2F"/>
    <w:rsid w:val="00DD2040"/>
    <w:rsid w:val="00DD6FC2"/>
    <w:rsid w:val="00DE0F1E"/>
    <w:rsid w:val="00DF2590"/>
    <w:rsid w:val="00DF581E"/>
    <w:rsid w:val="00E0101C"/>
    <w:rsid w:val="00E05D15"/>
    <w:rsid w:val="00E071F9"/>
    <w:rsid w:val="00E11CC5"/>
    <w:rsid w:val="00E11EB3"/>
    <w:rsid w:val="00E13603"/>
    <w:rsid w:val="00E154F1"/>
    <w:rsid w:val="00E15FAE"/>
    <w:rsid w:val="00E318AF"/>
    <w:rsid w:val="00E34DD9"/>
    <w:rsid w:val="00E42DEC"/>
    <w:rsid w:val="00E45D75"/>
    <w:rsid w:val="00E4660D"/>
    <w:rsid w:val="00E51600"/>
    <w:rsid w:val="00E519A9"/>
    <w:rsid w:val="00E5618D"/>
    <w:rsid w:val="00E56FEB"/>
    <w:rsid w:val="00E6047A"/>
    <w:rsid w:val="00E6088D"/>
    <w:rsid w:val="00E62853"/>
    <w:rsid w:val="00E63DB4"/>
    <w:rsid w:val="00E6575A"/>
    <w:rsid w:val="00E8275B"/>
    <w:rsid w:val="00E8711E"/>
    <w:rsid w:val="00E933AF"/>
    <w:rsid w:val="00E936F2"/>
    <w:rsid w:val="00E97902"/>
    <w:rsid w:val="00EA4F75"/>
    <w:rsid w:val="00EA56D2"/>
    <w:rsid w:val="00EB0295"/>
    <w:rsid w:val="00EC18BF"/>
    <w:rsid w:val="00EC550C"/>
    <w:rsid w:val="00EE1AE2"/>
    <w:rsid w:val="00EE442C"/>
    <w:rsid w:val="00F17AE3"/>
    <w:rsid w:val="00F312FE"/>
    <w:rsid w:val="00F3673D"/>
    <w:rsid w:val="00F379E8"/>
    <w:rsid w:val="00F45632"/>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2048"/>
    <w:rsid w:val="00FE6BF1"/>
    <w:rsid w:val="00FE7641"/>
    <w:rsid w:val="00FF76FB"/>
    <w:rsid w:val="01235E12"/>
    <w:rsid w:val="01C70D72"/>
    <w:rsid w:val="08F16230"/>
    <w:rsid w:val="0ABB6AF5"/>
    <w:rsid w:val="0FF04DAF"/>
    <w:rsid w:val="10600B4C"/>
    <w:rsid w:val="134B44A5"/>
    <w:rsid w:val="14EE14FB"/>
    <w:rsid w:val="1DFE5E90"/>
    <w:rsid w:val="20E454D6"/>
    <w:rsid w:val="233932BA"/>
    <w:rsid w:val="2D0E623A"/>
    <w:rsid w:val="32426E05"/>
    <w:rsid w:val="33457AFA"/>
    <w:rsid w:val="363D3C7C"/>
    <w:rsid w:val="3BBA2F5D"/>
    <w:rsid w:val="3F8F7A8D"/>
    <w:rsid w:val="4B30525C"/>
    <w:rsid w:val="4FBD4EC8"/>
    <w:rsid w:val="53877A85"/>
    <w:rsid w:val="591470C9"/>
    <w:rsid w:val="62D84861"/>
    <w:rsid w:val="661D2E56"/>
    <w:rsid w:val="6AC36108"/>
    <w:rsid w:val="71A6714E"/>
    <w:rsid w:val="726546B7"/>
    <w:rsid w:val="75F864F2"/>
    <w:rsid w:val="78625326"/>
    <w:rsid w:val="7DF0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autoRedefine/>
    <w:semiHidden/>
    <w:qFormat/>
    <w:uiPriority w:val="0"/>
  </w:style>
  <w:style w:type="character" w:customStyle="1" w:styleId="9">
    <w:name w:val="页脚 Char"/>
    <w:link w:val="4"/>
    <w:autoRedefine/>
    <w:qFormat/>
    <w:uiPriority w:val="99"/>
    <w:rPr>
      <w:kern w:val="2"/>
      <w:sz w:val="18"/>
      <w:szCs w:val="18"/>
    </w:rPr>
  </w:style>
  <w:style w:type="character" w:customStyle="1" w:styleId="10">
    <w:name w:val="页眉 Char"/>
    <w:link w:val="5"/>
    <w:autoRedefine/>
    <w:qFormat/>
    <w:uiPriority w:val="0"/>
    <w:rPr>
      <w:kern w:val="2"/>
      <w:sz w:val="18"/>
      <w:szCs w:val="18"/>
    </w:rPr>
  </w:style>
  <w:style w:type="character" w:customStyle="1" w:styleId="11">
    <w:name w:val="ng-binding"/>
    <w:basedOn w:val="8"/>
    <w:autoRedefine/>
    <w:qFormat/>
    <w:uiPriority w:val="0"/>
  </w:style>
  <w:style w:type="character" w:customStyle="1" w:styleId="12">
    <w:name w:val="top40"/>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GDGC</Company>
  <Pages>2</Pages>
  <Words>1408</Words>
  <Characters>1492</Characters>
  <Lines>11</Lines>
  <Paragraphs>3</Paragraphs>
  <TotalTime>4</TotalTime>
  <ScaleCrop>false</ScaleCrop>
  <LinksUpToDate>false</LinksUpToDate>
  <CharactersWithSpaces>1563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2023-04-03T11:42:00Z</dcterms:created>
  <dc:creator>fish</dc:creator>
  <cp:lastModifiedBy>汇兴</cp:lastModifiedBy>
  <cp:lastPrinted>2024-04-16T02:20:00Z</cp:lastPrinted>
  <dcterms:modified xsi:type="dcterms:W3CDTF">2024-04-23T09:37:53Z</dcterms:modified>
  <dc:title>广州市粮食竞价交易合同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D6E210E449044CDBA2F86F849072C25D_13</vt:lpwstr>
  </property>
</Properties>
</file>